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C2" w:rsidRDefault="007B3B20" w:rsidP="00087AA0">
      <w:pPr>
        <w:pStyle w:val="Tekstpodstawowy"/>
        <w:spacing w:before="0" w:line="360" w:lineRule="auto"/>
        <w:ind w:left="0"/>
        <w:rPr>
          <w:b/>
          <w:bCs/>
        </w:rPr>
      </w:pPr>
      <w:r w:rsidRPr="00D810BC">
        <w:rPr>
          <w:b/>
        </w:rPr>
        <w:t>Title</w:t>
      </w:r>
      <w:r w:rsidRPr="00D810BC">
        <w:rPr>
          <w:b/>
          <w:spacing w:val="37"/>
        </w:rPr>
        <w:t xml:space="preserve"> </w:t>
      </w:r>
      <w:r w:rsidRPr="00D810BC">
        <w:rPr>
          <w:b/>
        </w:rPr>
        <w:t>of</w:t>
      </w:r>
      <w:r w:rsidRPr="00D810BC">
        <w:rPr>
          <w:b/>
          <w:spacing w:val="37"/>
        </w:rPr>
        <w:t xml:space="preserve"> </w:t>
      </w:r>
      <w:r w:rsidRPr="00D810BC">
        <w:rPr>
          <w:b/>
          <w:spacing w:val="-1"/>
        </w:rPr>
        <w:t>paper</w:t>
      </w:r>
      <w:r>
        <w:rPr>
          <w:spacing w:val="38"/>
        </w:rPr>
        <w:t xml:space="preserve"> </w:t>
      </w:r>
      <w:r>
        <w:rPr>
          <w:spacing w:val="-1"/>
        </w:rPr>
        <w:t>(max</w:t>
      </w:r>
      <w:r>
        <w:rPr>
          <w:spacing w:val="38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rPr>
          <w:spacing w:val="-1"/>
        </w:rPr>
        <w:t>words):</w:t>
      </w:r>
      <w:r>
        <w:rPr>
          <w:spacing w:val="37"/>
        </w:rPr>
        <w:t xml:space="preserve"> </w:t>
      </w:r>
      <w:r w:rsidRPr="00087AA0">
        <w:rPr>
          <w:b/>
        </w:rPr>
        <w:t>Assessment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modelling</w:t>
      </w:r>
      <w:r w:rsidRPr="00087AA0">
        <w:rPr>
          <w:b/>
          <w:spacing w:val="38"/>
        </w:rPr>
        <w:t xml:space="preserve"> </w:t>
      </w:r>
      <w:r w:rsidRPr="00087AA0">
        <w:rPr>
          <w:b/>
        </w:rPr>
        <w:t>of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alternative</w:t>
      </w:r>
      <w:r w:rsidRPr="00087AA0">
        <w:rPr>
          <w:b/>
          <w:spacing w:val="36"/>
        </w:rPr>
        <w:t xml:space="preserve"> </w:t>
      </w:r>
      <w:r w:rsidRPr="00087AA0">
        <w:rPr>
          <w:b/>
        </w:rPr>
        <w:t>use</w:t>
      </w:r>
      <w:r w:rsidRPr="00087AA0">
        <w:rPr>
          <w:b/>
          <w:spacing w:val="37"/>
        </w:rPr>
        <w:t xml:space="preserve"> </w:t>
      </w:r>
      <w:r w:rsidRPr="00087AA0">
        <w:rPr>
          <w:b/>
        </w:rPr>
        <w:t>of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meliorated</w:t>
      </w:r>
      <w:r w:rsidRPr="00087AA0">
        <w:rPr>
          <w:b/>
          <w:spacing w:val="71"/>
        </w:rPr>
        <w:t xml:space="preserve"> </w:t>
      </w:r>
      <w:r w:rsidRPr="00087AA0">
        <w:rPr>
          <w:b/>
          <w:spacing w:val="-1"/>
        </w:rPr>
        <w:t>arable</w:t>
      </w:r>
      <w:r w:rsidRPr="00087AA0">
        <w:rPr>
          <w:b/>
        </w:rPr>
        <w:t xml:space="preserve"> land</w:t>
      </w:r>
    </w:p>
    <w:p w:rsidR="00707B6B" w:rsidRDefault="007B3B20" w:rsidP="00707B6B">
      <w:pPr>
        <w:pStyle w:val="Tekstpodstawowy"/>
        <w:spacing w:before="0" w:line="360" w:lineRule="auto"/>
        <w:ind w:left="0"/>
        <w:rPr>
          <w:spacing w:val="-1"/>
        </w:rPr>
      </w:pPr>
      <w:r w:rsidRPr="00707B6B">
        <w:rPr>
          <w:b/>
          <w:spacing w:val="-1"/>
        </w:rPr>
        <w:t xml:space="preserve">Authors: </w:t>
      </w:r>
    </w:p>
    <w:p w:rsidR="00C613C2" w:rsidRPr="00707B6B" w:rsidRDefault="007B3B20" w:rsidP="00707B6B">
      <w:pPr>
        <w:pStyle w:val="Tekstpodstawowy"/>
        <w:spacing w:before="0" w:line="360" w:lineRule="auto"/>
        <w:ind w:left="0" w:right="1015"/>
      </w:pPr>
      <w:r w:rsidRPr="00707B6B">
        <w:rPr>
          <w:spacing w:val="-1"/>
        </w:rPr>
        <w:t>For</w:t>
      </w:r>
      <w:r w:rsidRPr="00707B6B">
        <w:t xml:space="preserve"> </w:t>
      </w:r>
      <w:r w:rsidRPr="00707B6B">
        <w:rPr>
          <w:spacing w:val="-1"/>
        </w:rPr>
        <w:t>citation:</w:t>
      </w:r>
      <w:r w:rsidRPr="00707B6B">
        <w:t xml:space="preserve"> </w:t>
      </w:r>
    </w:p>
    <w:p w:rsidR="00C613C2" w:rsidRPr="00D810BC" w:rsidRDefault="007B3B20" w:rsidP="00087AA0">
      <w:pPr>
        <w:pStyle w:val="Tekstpodstawowy"/>
        <w:spacing w:before="0" w:line="360" w:lineRule="auto"/>
        <w:ind w:left="0" w:right="1015"/>
        <w:rPr>
          <w:b/>
          <w:bCs/>
        </w:rPr>
      </w:pPr>
      <w:r w:rsidRPr="00D810BC">
        <w:rPr>
          <w:b/>
          <w:spacing w:val="-1"/>
        </w:rPr>
        <w:t>Affiliation:</w:t>
      </w:r>
    </w:p>
    <w:p w:rsidR="00707B6B" w:rsidRPr="00707B6B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  <w:noProof/>
          <w:lang w:eastAsia="pl-PL"/>
        </w:rPr>
      </w:pPr>
      <w:r w:rsidRPr="00707B6B">
        <w:rPr>
          <w:rFonts w:cs="Times New Roman"/>
          <w:noProof/>
          <w:vertAlign w:val="superscript"/>
          <w:lang w:eastAsia="pl-PL"/>
        </w:rPr>
        <w:t>1)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>Department, street, number, or PB, City, Country</w:t>
      </w:r>
    </w:p>
    <w:p w:rsidR="00707B6B" w:rsidRPr="00087AA0" w:rsidRDefault="00707B6B" w:rsidP="00087AA0">
      <w:pPr>
        <w:pStyle w:val="Tekstpodstawowy"/>
        <w:spacing w:before="0" w:line="360" w:lineRule="auto"/>
        <w:ind w:left="0" w:right="1015"/>
      </w:pPr>
      <w:r w:rsidRPr="00707B6B">
        <w:rPr>
          <w:rFonts w:cs="Times New Roman"/>
          <w:noProof/>
          <w:vertAlign w:val="superscript"/>
          <w:lang w:eastAsia="pl-PL"/>
        </w:rPr>
        <w:t>2)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 xml:space="preserve">Department, City, </w:t>
      </w:r>
      <w:r w:rsidRPr="00087AA0">
        <w:t xml:space="preserve">Country </w:t>
      </w:r>
    </w:p>
    <w:p w:rsidR="00707B6B" w:rsidRPr="00707B6B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  <w:noProof/>
          <w:lang w:eastAsia="pl-PL"/>
        </w:rPr>
      </w:pPr>
      <w:r w:rsidRPr="00707B6B">
        <w:rPr>
          <w:rFonts w:cs="Times New Roman"/>
          <w:noProof/>
          <w:vertAlign w:val="superscript"/>
          <w:lang w:eastAsia="pl-PL"/>
        </w:rPr>
        <w:t>3)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>Department, City, Country</w:t>
      </w:r>
    </w:p>
    <w:p w:rsidR="00C613C2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707B6B">
        <w:sym w:font="Wingdings" w:char="F02A"/>
      </w:r>
      <w:r w:rsidR="007B3B20">
        <w:t xml:space="preserve"> </w:t>
      </w:r>
      <w:r w:rsidR="007B3B20">
        <w:rPr>
          <w:b/>
          <w:spacing w:val="-1"/>
        </w:rPr>
        <w:t>Corresponding</w:t>
      </w:r>
      <w:r w:rsidR="007B3B20">
        <w:rPr>
          <w:b/>
        </w:rPr>
        <w:t xml:space="preserve"> </w:t>
      </w:r>
      <w:r w:rsidR="007B3B20">
        <w:rPr>
          <w:b/>
          <w:spacing w:val="-1"/>
        </w:rPr>
        <w:t>author</w:t>
      </w:r>
      <w:r w:rsidR="006D231D">
        <w:rPr>
          <w:b/>
          <w:spacing w:val="-1"/>
        </w:rPr>
        <w:t>:</w:t>
      </w:r>
      <w:r w:rsidR="007B3B20">
        <w:rPr>
          <w:b/>
        </w:rPr>
        <w:t xml:space="preserve"> </w:t>
      </w:r>
      <w:r w:rsidR="006D231D">
        <w:rPr>
          <w:spacing w:val="-1"/>
        </w:rPr>
        <w:t>e-mail</w:t>
      </w:r>
    </w:p>
    <w:p w:rsidR="00C613C2" w:rsidRDefault="007B3B20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Abstract </w:t>
      </w:r>
      <w:r>
        <w:rPr>
          <w:rFonts w:cs="Times New Roman"/>
          <w:spacing w:val="-1"/>
        </w:rPr>
        <w:t>(200–250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words)</w:t>
      </w:r>
      <w:r>
        <w:rPr>
          <w:rFonts w:cs="Times New Roman"/>
          <w:b/>
          <w:bCs/>
        </w:rPr>
        <w:t>:</w:t>
      </w:r>
    </w:p>
    <w:p w:rsidR="00C613C2" w:rsidRPr="00707B6B" w:rsidRDefault="007B3B20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707B6B">
        <w:rPr>
          <w:rFonts w:cs="Times New Roman"/>
          <w:b/>
          <w:bCs/>
          <w:spacing w:val="-1"/>
        </w:rPr>
        <w:t>Keywords</w:t>
      </w:r>
      <w:r w:rsidRPr="00707B6B">
        <w:rPr>
          <w:rFonts w:cs="Times New Roman"/>
          <w:b/>
          <w:bCs/>
        </w:rPr>
        <w:t xml:space="preserve"> </w:t>
      </w:r>
      <w:r w:rsidRPr="00707B6B">
        <w:rPr>
          <w:rFonts w:cs="Times New Roman"/>
          <w:spacing w:val="-1"/>
        </w:rPr>
        <w:t>(5–8)</w:t>
      </w:r>
      <w:r w:rsidRPr="00707B6B">
        <w:rPr>
          <w:rFonts w:cs="Times New Roman"/>
          <w:b/>
          <w:bCs/>
          <w:spacing w:val="-1"/>
        </w:rPr>
        <w:t>:</w:t>
      </w:r>
    </w:p>
    <w:p w:rsidR="00C613C2" w:rsidRPr="00087AA0" w:rsidRDefault="007B3B2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087AA0">
        <w:rPr>
          <w:b/>
          <w:spacing w:val="-1"/>
        </w:rPr>
        <w:t>INTRODUCTION</w:t>
      </w:r>
    </w:p>
    <w:p w:rsidR="00707B6B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707B6B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087AA0">
        <w:rPr>
          <w:b/>
          <w:spacing w:val="-1"/>
        </w:rPr>
        <w:t>STUDY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MATERIALS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AND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METHODS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STUDY MATERIALS (not obligatory)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STUDY METHODS (not obligatory)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RESULTS AND DISCUSSION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CATEGORISATION OF ARABLE LAND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SPATIAL PREFERENCES OF ARABLE LAND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CONCLUSIONS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9B7EC8" w:rsidRDefault="009B7EC8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9B7EC8">
        <w:rPr>
          <w:b/>
          <w:spacing w:val="-1"/>
        </w:rPr>
        <w:t>ABBREVIATIONS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i/>
          <w:lang w:val="en-GB"/>
        </w:rPr>
      </w:pPr>
      <w:r w:rsidRPr="00560BAE">
        <w:rPr>
          <w:b/>
          <w:bCs/>
          <w:lang w:val="en-GB"/>
        </w:rPr>
        <w:t>Sam</w:t>
      </w:r>
      <w:bookmarkStart w:id="0" w:name="_GoBack"/>
      <w:bookmarkEnd w:id="0"/>
      <w:r w:rsidRPr="00560BAE">
        <w:rPr>
          <w:b/>
          <w:bCs/>
          <w:lang w:val="en-GB"/>
        </w:rPr>
        <w:t>ple</w:t>
      </w:r>
      <w:r w:rsidR="00E33A18">
        <w:rPr>
          <w:b/>
          <w:bCs/>
          <w:lang w:val="en-GB"/>
        </w:rPr>
        <w:t>s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a</w:t>
      </w:r>
      <w:r w:rsidRPr="00560BAE">
        <w:rPr>
          <w:rFonts w:cs="Times New Roman"/>
          <w:lang w:val="en-GB"/>
        </w:rPr>
        <w:t xml:space="preserve"> = acceleration (m∙s</w:t>
      </w:r>
      <w:r w:rsidRPr="00560BAE">
        <w:rPr>
          <w:rFonts w:cs="Times New Roman"/>
          <w:vertAlign w:val="superscript"/>
          <w:lang w:val="en-GB"/>
        </w:rPr>
        <w:t>–2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d</w:t>
      </w:r>
      <w:r w:rsidRPr="00560BAE">
        <w:rPr>
          <w:rFonts w:cs="Times New Roman"/>
          <w:lang w:val="en-GB"/>
        </w:rPr>
        <w:t xml:space="preserve"> = diameter (cm</w:t>
      </w:r>
      <w:r w:rsidRPr="00560BAE">
        <w:rPr>
          <w:rFonts w:cs="Times New Roman"/>
          <w:vertAlign w:val="superscript"/>
          <w:lang w:val="en-GB"/>
        </w:rPr>
        <w:t>2</w:t>
      </w:r>
      <w:r w:rsidRPr="00560BAE">
        <w:rPr>
          <w:rFonts w:cs="Times New Roman"/>
          <w:lang w:val="en-GB"/>
        </w:rPr>
        <w:t xml:space="preserve"> or m</w:t>
      </w:r>
      <w:r w:rsidRPr="00560BAE">
        <w:rPr>
          <w:rFonts w:cs="Times New Roman"/>
          <w:vertAlign w:val="superscript"/>
          <w:lang w:val="en-GB"/>
        </w:rPr>
        <w:t>2</w:t>
      </w:r>
      <w:r w:rsidRPr="00560BAE">
        <w:rPr>
          <w:rFonts w:cs="Times New Roman"/>
          <w:lang w:val="en-GB"/>
        </w:rPr>
        <w:t xml:space="preserve"> or km</w:t>
      </w:r>
      <w:r w:rsidRPr="00560BAE">
        <w:rPr>
          <w:rFonts w:cs="Times New Roman"/>
          <w:vertAlign w:val="superscript"/>
          <w:lang w:val="en-GB"/>
        </w:rPr>
        <w:t>2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EC</w:t>
      </w:r>
      <w:r w:rsidRPr="00560BAE">
        <w:rPr>
          <w:rFonts w:cs="Times New Roman"/>
          <w:lang w:val="en-GB"/>
        </w:rPr>
        <w:t xml:space="preserve"> – electrical conductivity (S∙m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 xml:space="preserve"> or mS∙cm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lang w:val="en-GB"/>
        </w:rPr>
        <w:t>Fr = Froude number (–)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NDVI</w:t>
      </w:r>
      <w:r w:rsidRPr="00560BAE">
        <w:rPr>
          <w:rFonts w:cs="Times New Roman"/>
          <w:lang w:val="en-GB"/>
        </w:rPr>
        <w:t xml:space="preserve"> = normalised difference vegetation index</w:t>
      </w:r>
      <w:r>
        <w:rPr>
          <w:rFonts w:cs="Times New Roman"/>
          <w:lang w:val="en-GB"/>
        </w:rPr>
        <w:t xml:space="preserve"> </w:t>
      </w:r>
      <w:r w:rsidRPr="00560BAE">
        <w:rPr>
          <w:rFonts w:cs="Times New Roman"/>
          <w:lang w:val="en-GB"/>
        </w:rPr>
        <w:t>(–)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lastRenderedPageBreak/>
        <w:t>P</w:t>
      </w:r>
      <w:r w:rsidRPr="00560BAE">
        <w:rPr>
          <w:rFonts w:cs="Times New Roman"/>
          <w:lang w:val="en-GB"/>
        </w:rPr>
        <w:t xml:space="preserve"> = precipitations (mm)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Q</w:t>
      </w:r>
      <w:r w:rsidRPr="00560BAE">
        <w:rPr>
          <w:rFonts w:cs="Times New Roman"/>
          <w:lang w:val="en-GB"/>
        </w:rPr>
        <w:t xml:space="preserve"> = discharge (cm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>∙s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 xml:space="preserve"> or 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>∙d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 xml:space="preserve"> or other unit of volume per time)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T</w:t>
      </w:r>
      <w:r w:rsidRPr="00560BAE">
        <w:rPr>
          <w:rFonts w:cs="Times New Roman"/>
          <w:lang w:val="en-GB"/>
        </w:rPr>
        <w:t xml:space="preserve"> = temperature (K or °C)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v</w:t>
      </w:r>
      <w:r w:rsidRPr="00560BAE">
        <w:rPr>
          <w:rFonts w:cs="Times New Roman"/>
          <w:lang w:val="en-GB"/>
        </w:rPr>
        <w:t xml:space="preserve"> = velocity (m∙s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 xml:space="preserve"> or km∙h</w:t>
      </w:r>
      <w:r w:rsidRPr="00560BAE">
        <w:rPr>
          <w:rFonts w:cs="Times New Roman"/>
          <w:vertAlign w:val="superscript"/>
          <w:lang w:val="en-GB"/>
        </w:rPr>
        <w:t>–1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V</w:t>
      </w:r>
      <w:r w:rsidRPr="00560BAE">
        <w:rPr>
          <w:rFonts w:cs="Times New Roman"/>
          <w:lang w:val="en-GB"/>
        </w:rPr>
        <w:t xml:space="preserve"> = volume (mm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 xml:space="preserve"> or cm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 xml:space="preserve"> or 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 xml:space="preserve"> or km</w:t>
      </w:r>
      <w:r w:rsidRPr="00560BAE">
        <w:rPr>
          <w:rFonts w:cs="Times New Roman"/>
          <w:vertAlign w:val="superscript"/>
          <w:lang w:val="en-GB"/>
        </w:rPr>
        <w:t>3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μ</w:t>
      </w:r>
      <w:r w:rsidRPr="00560BAE">
        <w:rPr>
          <w:rFonts w:cs="Times New Roman"/>
          <w:lang w:val="en-GB"/>
        </w:rPr>
        <w:t xml:space="preserve"> = viscosity (Pa·s)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ρ</w:t>
      </w:r>
      <w:r w:rsidRPr="00560BAE">
        <w:rPr>
          <w:rFonts w:cs="Times New Roman"/>
          <w:lang w:val="en-GB"/>
        </w:rPr>
        <w:t xml:space="preserve"> = density (g∙cm</w:t>
      </w:r>
      <w:r w:rsidRPr="00560BAE">
        <w:rPr>
          <w:rFonts w:cs="Times New Roman"/>
          <w:vertAlign w:val="superscript"/>
          <w:lang w:val="en-GB"/>
        </w:rPr>
        <w:t>–3</w:t>
      </w:r>
      <w:r w:rsidRPr="00560BAE">
        <w:rPr>
          <w:rFonts w:cs="Times New Roman"/>
          <w:lang w:val="en-GB"/>
        </w:rPr>
        <w:t xml:space="preserve"> or kg∙m</w:t>
      </w:r>
      <w:r w:rsidRPr="00560BAE">
        <w:rPr>
          <w:rFonts w:cs="Times New Roman"/>
          <w:vertAlign w:val="superscript"/>
          <w:lang w:val="en-GB"/>
        </w:rPr>
        <w:t>–3</w:t>
      </w:r>
      <w:r w:rsidRPr="00560BAE">
        <w:rPr>
          <w:rFonts w:cs="Times New Roman"/>
          <w:lang w:val="en-GB"/>
        </w:rPr>
        <w:t>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i/>
          <w:lang w:val="en-GB"/>
        </w:rPr>
        <w:t>σ</w:t>
      </w:r>
      <w:r w:rsidRPr="00560BAE">
        <w:rPr>
          <w:rFonts w:cs="Times New Roman"/>
          <w:lang w:val="en-GB"/>
        </w:rPr>
        <w:t xml:space="preserve"> = stress (Pa)</w:t>
      </w:r>
    </w:p>
    <w:p w:rsidR="00560BAE" w:rsidRPr="00560BAE" w:rsidRDefault="00560BAE" w:rsidP="00560BAE">
      <w:pPr>
        <w:pStyle w:val="Tekstpodstawowy"/>
        <w:spacing w:line="360" w:lineRule="auto"/>
        <w:rPr>
          <w:rFonts w:cs="Times New Roman"/>
          <w:lang w:val="en-GB"/>
        </w:rPr>
      </w:pPr>
      <w:r w:rsidRPr="00560BAE">
        <w:rPr>
          <w:rFonts w:cs="Times New Roman"/>
          <w:lang w:val="en-GB"/>
        </w:rPr>
        <w:t>τ = shear stress (Pa or N∙s</w:t>
      </w:r>
      <w:r w:rsidRPr="00560BAE">
        <w:rPr>
          <w:rFonts w:cs="Times New Roman"/>
          <w:vertAlign w:val="superscript"/>
          <w:lang w:val="en-GB"/>
        </w:rPr>
        <w:t>–2</w:t>
      </w:r>
      <w:r w:rsidRPr="00560BAE">
        <w:rPr>
          <w:rFonts w:cs="Times New Roman"/>
          <w:lang w:val="en-GB"/>
        </w:rPr>
        <w:t>)</w:t>
      </w:r>
    </w:p>
    <w:p w:rsidR="00087AA0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spacing w:val="-1"/>
        </w:rPr>
      </w:pPr>
      <w:r>
        <w:rPr>
          <w:b/>
          <w:spacing w:val="-1"/>
        </w:rPr>
        <w:t>ACKNOWLEDGMENTS</w:t>
      </w:r>
      <w:r>
        <w:rPr>
          <w:b/>
          <w:spacing w:val="2"/>
        </w:rPr>
        <w:t xml:space="preserve"> </w:t>
      </w:r>
      <w:r>
        <w:t xml:space="preserve">(not </w:t>
      </w:r>
      <w:r>
        <w:rPr>
          <w:spacing w:val="-1"/>
        </w:rPr>
        <w:t>obligatory)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spacing w:val="-1"/>
        </w:rPr>
      </w:pPr>
      <w:r>
        <w:rPr>
          <w:b/>
          <w:spacing w:val="-1"/>
        </w:rPr>
        <w:t>FUNDING</w:t>
      </w:r>
      <w:r>
        <w:rPr>
          <w:b/>
        </w:rPr>
        <w:t xml:space="preserve"> </w:t>
      </w:r>
      <w:r>
        <w:t>(not obligatory)</w:t>
      </w:r>
    </w:p>
    <w:p w:rsidR="00087AA0" w:rsidRPr="009B7EC8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9B7EC8" w:rsidRDefault="009B7EC8" w:rsidP="009B7EC8">
      <w:pPr>
        <w:pStyle w:val="Tekstpodstawowy"/>
        <w:spacing w:line="360" w:lineRule="auto"/>
        <w:jc w:val="center"/>
        <w:rPr>
          <w:b/>
          <w:spacing w:val="-1"/>
        </w:rPr>
      </w:pPr>
      <w:r w:rsidRPr="009B7EC8">
        <w:rPr>
          <w:b/>
          <w:spacing w:val="-1"/>
        </w:rPr>
        <w:t>CONFLICT OF INTERESTS</w:t>
      </w:r>
    </w:p>
    <w:p w:rsidR="009B7EC8" w:rsidRPr="009B7EC8" w:rsidRDefault="009B7EC8" w:rsidP="009B7EC8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9B7EC8" w:rsidRDefault="009B7EC8" w:rsidP="009B7EC8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9B7EC8">
        <w:rPr>
          <w:b/>
          <w:spacing w:val="-1"/>
        </w:rPr>
        <w:t>INSTITUTIONAL REVIEW BOARD STATEMENT</w:t>
      </w:r>
    </w:p>
    <w:p w:rsidR="009B7EC8" w:rsidRPr="009B7EC8" w:rsidRDefault="009B7EC8" w:rsidP="009B7EC8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9B7EC8">
        <w:rPr>
          <w:rFonts w:cs="Times New Roman"/>
        </w:rPr>
        <w:t>Text</w:t>
      </w:r>
    </w:p>
    <w:p w:rsidR="00087AA0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REFERENCES (</w:t>
      </w:r>
      <w:r w:rsidR="00767C93">
        <w:rPr>
          <w:b/>
          <w:spacing w:val="-1"/>
        </w:rPr>
        <w:t xml:space="preserve">about </w:t>
      </w:r>
      <w:r w:rsidRPr="00D810BC">
        <w:rPr>
          <w:b/>
          <w:spacing w:val="-1"/>
        </w:rPr>
        <w:t>30 items)</w:t>
      </w:r>
    </w:p>
    <w:p w:rsidR="00BD6051" w:rsidRPr="00BD6051" w:rsidRDefault="00BD6051" w:rsidP="00BD6051">
      <w:pPr>
        <w:shd w:val="clear" w:color="auto" w:fill="FFFFFF"/>
        <w:spacing w:line="360" w:lineRule="auto"/>
        <w:ind w:left="425" w:hanging="425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D6051">
        <w:rPr>
          <w:rFonts w:ascii="Times New Roman" w:hAnsi="Times New Roman" w:cs="Times New Roman"/>
          <w:b/>
          <w:color w:val="333333"/>
          <w:sz w:val="24"/>
          <w:szCs w:val="24"/>
        </w:rPr>
        <w:t>Samples</w:t>
      </w:r>
    </w:p>
    <w:p w:rsidR="006421AB" w:rsidRPr="00BD6051" w:rsidRDefault="006421AB" w:rsidP="00E33A18">
      <w:pPr>
        <w:shd w:val="clear" w:color="auto" w:fill="FFFFFF"/>
        <w:spacing w:line="360" w:lineRule="auto"/>
        <w:ind w:left="425" w:hanging="425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D6051">
        <w:rPr>
          <w:rFonts w:ascii="Times New Roman" w:hAnsi="Times New Roman" w:cs="Times New Roman"/>
          <w:color w:val="333333"/>
          <w:sz w:val="24"/>
          <w:szCs w:val="24"/>
        </w:rPr>
        <w:t xml:space="preserve">Council Directive (1992) “Council directive 92/43/EEC of 21 May 1992 on the conservation of natural habitats and of wild fauna and flora,” </w:t>
      </w:r>
      <w:r w:rsidRPr="00BD6051">
        <w:rPr>
          <w:rFonts w:ascii="Times New Roman" w:hAnsi="Times New Roman" w:cs="Times New Roman"/>
          <w:i/>
          <w:color w:val="333333"/>
          <w:sz w:val="24"/>
          <w:szCs w:val="24"/>
        </w:rPr>
        <w:t>Official Journal</w:t>
      </w:r>
      <w:r w:rsidRPr="00BD6051">
        <w:rPr>
          <w:rFonts w:ascii="Times New Roman" w:hAnsi="Times New Roman" w:cs="Times New Roman"/>
          <w:color w:val="333333"/>
          <w:sz w:val="24"/>
          <w:szCs w:val="24"/>
        </w:rPr>
        <w:t>, L 206, Consolidated version 1.1.2007.</w:t>
      </w:r>
    </w:p>
    <w:p w:rsidR="00BD6051" w:rsidRPr="00BD6051" w:rsidRDefault="00BD6051" w:rsidP="00E33A18">
      <w:pPr>
        <w:widowControl/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60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Eurostat (2011) </w:t>
      </w:r>
      <w:r w:rsidRPr="00BD60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Energy, transport and environment indicators</w:t>
      </w:r>
      <w:r w:rsidRPr="00BD60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Brussels.</w:t>
      </w:r>
    </w:p>
    <w:p w:rsidR="006421AB" w:rsidRPr="006421AB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D6051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FAO (no date)</w:t>
      </w:r>
      <w:r w:rsidRPr="00BD6051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 Soil maps and databases. </w:t>
      </w: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>Rome: Food and Agriculture Organization. Available at: https://www.fao.org/soils-portal/data-hub/soil-maps-and-databases/en/ (Accessed: January 27, 2023).</w:t>
      </w:r>
    </w:p>
    <w:p w:rsidR="006421AB" w:rsidRPr="006421AB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pl-PL"/>
        </w:rPr>
        <w:t xml:space="preserve">Hewedy, O.A. </w:t>
      </w:r>
      <w:r w:rsidRPr="006421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fr-FR" w:eastAsia="pl-PL"/>
        </w:rPr>
        <w:t>et al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pl-PL"/>
        </w:rPr>
        <w:t xml:space="preserve">. 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(2022) “Plants take action to mitigate salt stress: Ask microbe for help, phytohormones, and genetic approaches,” </w:t>
      </w:r>
      <w:r w:rsidRPr="006421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Journal of Water and Land Development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55 pp. 1–16. Available at: https://doi.org/10.24425/jwld.2022.142299.</w:t>
      </w:r>
    </w:p>
    <w:p w:rsidR="006421AB" w:rsidRDefault="00767C93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Kalaji, M. and Touchan, H. (2020) </w:t>
      </w:r>
      <w:r w:rsidRPr="00767C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Basics and applications of chlorophyll fluorescence in plant sciences</w:t>
      </w: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Saarbrücken: Noor Publishing.</w:t>
      </w:r>
    </w:p>
    <w:p w:rsidR="00BD6051" w:rsidRPr="00BD6051" w:rsidRDefault="00BD6051" w:rsidP="00E33A18">
      <w:pPr>
        <w:widowControl/>
        <w:shd w:val="clear" w:color="auto" w:fill="FFFFFF"/>
        <w:spacing w:line="360" w:lineRule="auto"/>
        <w:ind w:left="426" w:hanging="426"/>
        <w:textAlignment w:val="top"/>
        <w:rPr>
          <w:rFonts w:ascii="Times New Roman" w:eastAsia="Times New Roman" w:hAnsi="Times New Roman" w:cs="Times New Roman"/>
          <w:color w:val="333333"/>
          <w:szCs w:val="18"/>
          <w:lang w:eastAsia="pl-PL"/>
        </w:rPr>
      </w:pPr>
      <w:r w:rsidRPr="00BD6051">
        <w:rPr>
          <w:rFonts w:ascii="Times New Roman" w:eastAsia="Times New Roman" w:hAnsi="Times New Roman" w:cs="Times New Roman"/>
          <w:color w:val="333333"/>
          <w:szCs w:val="18"/>
          <w:lang w:eastAsia="pl-PL"/>
        </w:rPr>
        <w:lastRenderedPageBreak/>
        <w:t xml:space="preserve">Kamiński, E. (ed.). (2011a) </w:t>
      </w:r>
      <w:r w:rsidRPr="00BD6051">
        <w:rPr>
          <w:rFonts w:ascii="Times New Roman" w:eastAsia="Times New Roman" w:hAnsi="Times New Roman" w:cs="Times New Roman"/>
          <w:i/>
          <w:color w:val="333333"/>
          <w:szCs w:val="18"/>
          <w:lang w:eastAsia="pl-PL"/>
        </w:rPr>
        <w:t>Conservation tillage systems and environment protection in sustainable agriculture</w:t>
      </w:r>
      <w:r w:rsidRPr="00BD6051">
        <w:rPr>
          <w:rFonts w:ascii="Times New Roman" w:eastAsia="Times New Roman" w:hAnsi="Times New Roman" w:cs="Times New Roman"/>
          <w:color w:val="333333"/>
          <w:szCs w:val="18"/>
          <w:lang w:eastAsia="pl-PL"/>
        </w:rPr>
        <w:t>. Falenty: Wydaw. ITP.</w:t>
      </w:r>
    </w:p>
    <w:p w:rsidR="00BD6051" w:rsidRPr="00BD6051" w:rsidRDefault="00BD6051" w:rsidP="00E33A18">
      <w:pPr>
        <w:widowControl/>
        <w:shd w:val="clear" w:color="auto" w:fill="FFFFFF"/>
        <w:spacing w:line="360" w:lineRule="auto"/>
        <w:ind w:left="426" w:hanging="426"/>
        <w:textAlignment w:val="top"/>
        <w:rPr>
          <w:rFonts w:ascii="Times New Roman" w:eastAsia="Times New Roman" w:hAnsi="Times New Roman" w:cs="Times New Roman"/>
          <w:color w:val="333333"/>
          <w:szCs w:val="18"/>
          <w:lang w:eastAsia="pl-PL"/>
        </w:rPr>
      </w:pPr>
      <w:r w:rsidRPr="00BD6051">
        <w:rPr>
          <w:rFonts w:ascii="Times New Roman" w:eastAsia="Times New Roman" w:hAnsi="Times New Roman" w:cs="Times New Roman"/>
          <w:color w:val="333333"/>
          <w:szCs w:val="18"/>
          <w:lang w:eastAsia="pl-PL"/>
        </w:rPr>
        <w:t xml:space="preserve">Kamiński, E. (ed.). (2011b) </w:t>
      </w:r>
      <w:r w:rsidRPr="00BD6051">
        <w:rPr>
          <w:rFonts w:ascii="Times New Roman" w:eastAsia="Times New Roman" w:hAnsi="Times New Roman" w:cs="Times New Roman"/>
          <w:i/>
          <w:color w:val="333333"/>
          <w:szCs w:val="18"/>
          <w:lang w:eastAsia="pl-PL"/>
        </w:rPr>
        <w:t>Development trends in soil cultivation and fertilization engineering in the aspect of organic farming standards</w:t>
      </w:r>
      <w:r w:rsidRPr="00BD6051">
        <w:rPr>
          <w:rFonts w:ascii="Times New Roman" w:eastAsia="Times New Roman" w:hAnsi="Times New Roman" w:cs="Times New Roman"/>
          <w:color w:val="333333"/>
          <w:szCs w:val="18"/>
          <w:lang w:eastAsia="pl-PL"/>
        </w:rPr>
        <w:t>. Falenty: Wydaw. ITP.</w:t>
      </w:r>
    </w:p>
    <w:p w:rsidR="00BD6051" w:rsidRPr="00BD6051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Mioduszewski, W. (ed.) (2012) </w:t>
      </w:r>
      <w:r w:rsidRPr="006421AB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Role of water management in protection of water quality in rural areas</w:t>
      </w: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>. Falenty: Wydaw. ITP.</w:t>
      </w:r>
      <w:r w:rsidR="00BD6051" w:rsidRPr="00BD60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D6051" w:rsidRPr="00BD6051" w:rsidRDefault="00BD6051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Plesiński, K.K., Radecki-Pawlik, A. and Rivera-Trejo, F. (2022) “Using 1D and 2D computer models when predicting hydrodynamic and morphological parameters of a boulder block ramp: Poniczanka stream, Carpathians,” </w:t>
      </w:r>
      <w:r w:rsidRPr="00767C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Journal of Water and Land Development</w:t>
      </w: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Spec. Iss., pp. 34–48. Available at: https://doi.org/10.24425/jwld.2022.143719.</w:t>
      </w:r>
      <w:r w:rsidRPr="00BD60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6421AB" w:rsidRPr="006421AB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Ralchenko, Y., Kramida, A. and Reader, J. (2011) </w:t>
      </w:r>
      <w:r w:rsidRPr="00BD6051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 xml:space="preserve">NIST atomic spectra database. </w:t>
      </w:r>
      <w:r w:rsidRPr="006421AB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Version 4</w:t>
      </w:r>
      <w:r w:rsidRPr="00BD6051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.</w:t>
      </w: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Available at: http://www.nist.gov/pml/data/asd.cfm (Accessed: April 21, 2012).</w:t>
      </w:r>
    </w:p>
    <w:p w:rsidR="006421AB" w:rsidRPr="00BD6051" w:rsidRDefault="00BD6051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605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Roszkowski, A., </w:t>
      </w:r>
      <w:r w:rsidRPr="00BD6051">
        <w:rPr>
          <w:rFonts w:ascii="Times New Roman" w:eastAsia="Calibri" w:hAnsi="Times New Roman" w:cs="Times New Roman"/>
          <w:sz w:val="24"/>
          <w:szCs w:val="24"/>
        </w:rPr>
        <w:t>Szeptycki</w:t>
      </w:r>
      <w:r w:rsidRPr="00BD605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A. and Chigarew, O. (2011) “Conditions of technological progress in soil tillage,” in E. Kamiński (ed.) </w:t>
      </w:r>
      <w:r w:rsidRPr="00BD6051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Development trends in soil cultivation and fertilization engineering in the aspect of organic farming standards</w:t>
      </w:r>
      <w:r w:rsidRPr="00BD6051">
        <w:rPr>
          <w:rFonts w:ascii="Times New Roman" w:eastAsia="Calibri" w:hAnsi="Times New Roman" w:cs="Times New Roman"/>
          <w:color w:val="333333"/>
          <w:sz w:val="24"/>
          <w:szCs w:val="24"/>
        </w:rPr>
        <w:t>. Falenty: Wydaw. ITP, pp. 96–114</w:t>
      </w:r>
    </w:p>
    <w:p w:rsidR="006421AB" w:rsidRPr="00BD6051" w:rsidRDefault="006421AB" w:rsidP="00E33A18">
      <w:pPr>
        <w:shd w:val="clear" w:color="auto" w:fill="FFFFFF"/>
        <w:spacing w:line="360" w:lineRule="auto"/>
        <w:ind w:left="425" w:hanging="425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BD6051">
        <w:rPr>
          <w:rFonts w:ascii="Times New Roman" w:hAnsi="Times New Roman" w:cs="Times New Roman"/>
          <w:color w:val="333333"/>
          <w:sz w:val="24"/>
          <w:szCs w:val="24"/>
        </w:rPr>
        <w:t xml:space="preserve">Roszkowski, A., </w:t>
      </w:r>
      <w:r w:rsidRPr="00BD6051">
        <w:rPr>
          <w:rFonts w:ascii="Times New Roman" w:hAnsi="Times New Roman" w:cs="Times New Roman"/>
          <w:sz w:val="24"/>
          <w:szCs w:val="24"/>
        </w:rPr>
        <w:t>Szeptycki</w:t>
      </w:r>
      <w:r w:rsidRPr="00BD6051">
        <w:rPr>
          <w:rFonts w:ascii="Times New Roman" w:hAnsi="Times New Roman" w:cs="Times New Roman"/>
          <w:color w:val="333333"/>
          <w:sz w:val="24"/>
          <w:szCs w:val="24"/>
        </w:rPr>
        <w:t xml:space="preserve">, A. and Chigarew, O. (2011) “Conditions of technological progress in soil tillage,” in E. Kamiński (ed.) </w:t>
      </w:r>
      <w:r w:rsidRPr="00BD6051">
        <w:rPr>
          <w:rFonts w:ascii="Times New Roman" w:hAnsi="Times New Roman" w:cs="Times New Roman"/>
          <w:i/>
          <w:color w:val="333333"/>
          <w:sz w:val="24"/>
          <w:szCs w:val="24"/>
        </w:rPr>
        <w:t>Development trends in soil cultivation and fertilization engineering in the aspect of organic farming standards</w:t>
      </w:r>
      <w:r w:rsidRPr="00BD6051">
        <w:rPr>
          <w:rFonts w:ascii="Times New Roman" w:hAnsi="Times New Roman" w:cs="Times New Roman"/>
          <w:color w:val="333333"/>
          <w:sz w:val="24"/>
          <w:szCs w:val="24"/>
        </w:rPr>
        <w:t>. Falenty: Wydaw. ITP, pp. 96–114.</w:t>
      </w:r>
    </w:p>
    <w:p w:rsidR="006421AB" w:rsidRPr="00BD6051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Qian, S. (no date) </w:t>
      </w:r>
      <w:r w:rsidRPr="006421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Sea garden city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Archinect People. Available at: https://archinect.com/sisiqian/project/sea-garden-city (Accessed: December 18, 2019).</w:t>
      </w:r>
    </w:p>
    <w:p w:rsidR="006421AB" w:rsidRPr="006421AB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Schlick, T. (2010) </w:t>
      </w:r>
      <w:r w:rsidRPr="00BD6051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Molecular modelling and simulation: An interdisciplinary guide.</w:t>
      </w:r>
      <w:r w:rsidRPr="006421A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Springer. Available at: https://link.springer.com/book/10.1007/978-1-4419-6351-2 (Accessed: July 5, 2011).</w:t>
      </w:r>
    </w:p>
    <w:p w:rsidR="006421AB" w:rsidRPr="00767C93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Wałowski, G. (2022) “Assessment of polydisperse substrate flow in a fermentor for computational fluid dynamics modelling,” </w:t>
      </w:r>
      <w:r w:rsidRPr="00767C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Journal of Water and Land Development</w:t>
      </w:r>
      <w:r w:rsidRPr="00767C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Spec. Iss., pp. 1–7. Available at: https://doi.org/10.24425/jwld.2022.143715.</w:t>
      </w:r>
    </w:p>
    <w:p w:rsidR="006421AB" w:rsidRPr="006421AB" w:rsidRDefault="006421AB" w:rsidP="00E33A18">
      <w:pPr>
        <w:widowControl/>
        <w:shd w:val="clear" w:color="auto" w:fill="FFFFFF"/>
        <w:spacing w:line="360" w:lineRule="auto"/>
        <w:ind w:left="425" w:hanging="4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</w:pP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 xml:space="preserve">Zawadzki, S. (2002) </w:t>
      </w:r>
      <w:r w:rsidRPr="006421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l-PL" w:eastAsia="pl-PL"/>
        </w:rPr>
        <w:t>Podstawy gleboznawstwa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 xml:space="preserve"> </w:t>
      </w:r>
      <w:r w:rsidRPr="006421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l-PL" w:eastAsia="pl-PL"/>
        </w:rPr>
        <w:t>[Fundamentals of soil science]</w:t>
      </w:r>
      <w:r w:rsidRPr="006421AB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/>
        </w:rPr>
        <w:t>. 2nd edn. Warszawa: PWRiL.</w:t>
      </w:r>
    </w:p>
    <w:p w:rsidR="00767C93" w:rsidRDefault="00767C93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</w:p>
    <w:sectPr w:rsidR="00767C93" w:rsidSect="00D810BC"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3B" w:rsidRDefault="001A023B" w:rsidP="00087AA0">
      <w:r>
        <w:separator/>
      </w:r>
    </w:p>
  </w:endnote>
  <w:endnote w:type="continuationSeparator" w:id="0">
    <w:p w:rsidR="001A023B" w:rsidRDefault="001A023B" w:rsidP="0008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3B" w:rsidRDefault="001A023B" w:rsidP="00087AA0">
      <w:r>
        <w:separator/>
      </w:r>
    </w:p>
  </w:footnote>
  <w:footnote w:type="continuationSeparator" w:id="0">
    <w:p w:rsidR="001A023B" w:rsidRDefault="001A023B" w:rsidP="0008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2"/>
    <w:rsid w:val="00087AA0"/>
    <w:rsid w:val="001A023B"/>
    <w:rsid w:val="005108C2"/>
    <w:rsid w:val="00560BAE"/>
    <w:rsid w:val="006421AB"/>
    <w:rsid w:val="006D231D"/>
    <w:rsid w:val="00707B6B"/>
    <w:rsid w:val="00767C93"/>
    <w:rsid w:val="007B3B20"/>
    <w:rsid w:val="009B7EC8"/>
    <w:rsid w:val="00BD6051"/>
    <w:rsid w:val="00C613C2"/>
    <w:rsid w:val="00D810BC"/>
    <w:rsid w:val="00E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A6978-BBE4-4C61-8E5A-4B6914F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7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AA0"/>
  </w:style>
  <w:style w:type="paragraph" w:styleId="Stopka">
    <w:name w:val="footer"/>
    <w:basedOn w:val="Normalny"/>
    <w:link w:val="StopkaZnak"/>
    <w:uiPriority w:val="99"/>
    <w:unhideWhenUsed/>
    <w:rsid w:val="00087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AA0"/>
  </w:style>
  <w:style w:type="paragraph" w:customStyle="1" w:styleId="Default">
    <w:name w:val="Default"/>
    <w:rsid w:val="00D810B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2023-07-06T12:51:00Z</dcterms:created>
  <dcterms:modified xsi:type="dcterms:W3CDTF">2023-07-06T12:51:00Z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2022-06-14T00:00:00Z</vt:filetime>
  </property>
</Properties>
</file>